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14735" w14:textId="732B9D44" w:rsidR="00312A3B" w:rsidRDefault="00312A3B" w:rsidP="00312A3B">
      <w:pPr>
        <w:suppressAutoHyphens/>
        <w:spacing w:line="240" w:lineRule="atLeast"/>
        <w:jc w:val="center"/>
        <w:rPr>
          <w:b/>
          <w:bCs/>
          <w:sz w:val="24"/>
          <w:szCs w:val="24"/>
        </w:rPr>
      </w:pPr>
      <w:r>
        <w:rPr>
          <w:b/>
          <w:bCs/>
          <w:sz w:val="24"/>
          <w:szCs w:val="24"/>
        </w:rPr>
        <w:t>ENGAGEMENT DE CAUTION</w:t>
      </w:r>
    </w:p>
    <w:p w14:paraId="35A14736" w14:textId="77777777" w:rsidR="00312A3B" w:rsidRDefault="00312A3B" w:rsidP="00312A3B">
      <w:pPr>
        <w:suppressAutoHyphens/>
        <w:spacing w:line="240" w:lineRule="atLeast"/>
        <w:jc w:val="center"/>
        <w:rPr>
          <w:sz w:val="24"/>
          <w:szCs w:val="24"/>
        </w:rPr>
      </w:pPr>
      <w:r>
        <w:rPr>
          <w:b/>
          <w:bCs/>
          <w:sz w:val="24"/>
          <w:szCs w:val="24"/>
        </w:rPr>
        <w:t>(10 % de la mise à prix)</w:t>
      </w:r>
    </w:p>
    <w:p w14:paraId="35A14737" w14:textId="77777777" w:rsidR="00312A3B" w:rsidRDefault="00312A3B" w:rsidP="00312A3B">
      <w:pPr>
        <w:suppressAutoHyphens/>
        <w:spacing w:line="240" w:lineRule="atLeast"/>
        <w:jc w:val="both"/>
        <w:rPr>
          <w:spacing w:val="-3"/>
          <w:sz w:val="24"/>
          <w:szCs w:val="24"/>
        </w:rPr>
      </w:pPr>
    </w:p>
    <w:p w14:paraId="35A14738" w14:textId="77777777" w:rsidR="00312A3B" w:rsidRDefault="00312A3B" w:rsidP="00312A3B">
      <w:pPr>
        <w:suppressAutoHyphens/>
        <w:spacing w:line="240" w:lineRule="atLeast"/>
        <w:jc w:val="both"/>
        <w:rPr>
          <w:spacing w:val="-3"/>
          <w:sz w:val="24"/>
          <w:szCs w:val="24"/>
        </w:rPr>
      </w:pPr>
    </w:p>
    <w:p w14:paraId="35A14739" w14:textId="77777777" w:rsidR="00312A3B" w:rsidRDefault="00312A3B" w:rsidP="00312A3B">
      <w:pPr>
        <w:suppressAutoHyphens/>
        <w:spacing w:line="240" w:lineRule="atLeast"/>
        <w:jc w:val="both"/>
        <w:rPr>
          <w:spacing w:val="-3"/>
          <w:sz w:val="24"/>
          <w:szCs w:val="24"/>
        </w:rPr>
      </w:pPr>
    </w:p>
    <w:p w14:paraId="35A1473A" w14:textId="77777777" w:rsidR="00312A3B" w:rsidRDefault="00312A3B" w:rsidP="00312A3B">
      <w:pPr>
        <w:suppressAutoHyphens/>
        <w:spacing w:line="240" w:lineRule="atLeast"/>
        <w:jc w:val="both"/>
        <w:rPr>
          <w:spacing w:val="-3"/>
          <w:sz w:val="24"/>
          <w:szCs w:val="24"/>
        </w:rPr>
      </w:pPr>
      <w:r>
        <w:rPr>
          <w:spacing w:val="-3"/>
          <w:sz w:val="24"/>
          <w:szCs w:val="24"/>
        </w:rPr>
        <w:t>La (</w:t>
      </w:r>
      <w:r>
        <w:rPr>
          <w:i/>
          <w:iCs/>
          <w:spacing w:val="-3"/>
          <w:sz w:val="24"/>
          <w:szCs w:val="24"/>
        </w:rPr>
        <w:t>banque</w:t>
      </w:r>
      <w:r>
        <w:rPr>
          <w:spacing w:val="-3"/>
          <w:sz w:val="24"/>
          <w:szCs w:val="24"/>
        </w:rPr>
        <w:t>)... représentée par (</w:t>
      </w:r>
      <w:r>
        <w:rPr>
          <w:i/>
          <w:iCs/>
          <w:spacing w:val="-3"/>
          <w:sz w:val="24"/>
          <w:szCs w:val="24"/>
        </w:rPr>
        <w:t>procuration</w:t>
      </w:r>
      <w:r>
        <w:rPr>
          <w:spacing w:val="-3"/>
          <w:sz w:val="24"/>
          <w:szCs w:val="24"/>
        </w:rPr>
        <w:t>)...</w:t>
      </w:r>
    </w:p>
    <w:p w14:paraId="35A1473B" w14:textId="77777777" w:rsidR="00312A3B" w:rsidRDefault="00312A3B" w:rsidP="00312A3B">
      <w:pPr>
        <w:suppressAutoHyphens/>
        <w:spacing w:line="240" w:lineRule="atLeast"/>
        <w:jc w:val="both"/>
        <w:rPr>
          <w:spacing w:val="-3"/>
          <w:sz w:val="24"/>
          <w:szCs w:val="24"/>
        </w:rPr>
      </w:pPr>
    </w:p>
    <w:p w14:paraId="35A1473C" w14:textId="77777777" w:rsidR="00312A3B" w:rsidRDefault="00312A3B" w:rsidP="00312A3B">
      <w:pPr>
        <w:suppressAutoHyphens/>
        <w:spacing w:line="240" w:lineRule="atLeast"/>
        <w:jc w:val="both"/>
        <w:rPr>
          <w:spacing w:val="-3"/>
          <w:sz w:val="24"/>
          <w:szCs w:val="24"/>
        </w:rPr>
      </w:pPr>
      <w:r>
        <w:rPr>
          <w:spacing w:val="-3"/>
          <w:sz w:val="24"/>
          <w:szCs w:val="24"/>
        </w:rPr>
        <w:t>déclare par la présente se porter à l’égard de :</w:t>
      </w:r>
    </w:p>
    <w:p w14:paraId="35A1473D" w14:textId="77777777" w:rsidR="00312A3B" w:rsidRDefault="00312A3B" w:rsidP="00312A3B">
      <w:pPr>
        <w:suppressAutoHyphens/>
        <w:spacing w:line="240" w:lineRule="atLeast"/>
        <w:jc w:val="both"/>
        <w:rPr>
          <w:spacing w:val="-3"/>
          <w:sz w:val="24"/>
          <w:szCs w:val="24"/>
        </w:rPr>
      </w:pPr>
    </w:p>
    <w:p w14:paraId="35A1473E" w14:textId="77777777" w:rsidR="00312A3B" w:rsidRDefault="00312A3B" w:rsidP="00312A3B">
      <w:pPr>
        <w:suppressAutoHyphens/>
        <w:spacing w:line="240" w:lineRule="atLeast"/>
        <w:jc w:val="both"/>
        <w:rPr>
          <w:spacing w:val="-3"/>
          <w:sz w:val="24"/>
          <w:szCs w:val="24"/>
        </w:rPr>
      </w:pPr>
      <w:r>
        <w:rPr>
          <w:spacing w:val="-3"/>
          <w:sz w:val="24"/>
          <w:szCs w:val="24"/>
        </w:rPr>
        <w:t>1</w:t>
      </w:r>
      <w:r>
        <w:rPr>
          <w:spacing w:val="-3"/>
          <w:sz w:val="24"/>
          <w:szCs w:val="24"/>
          <w:lang w:val="en-US"/>
        </w:rPr>
        <w:sym w:font="Symbol" w:char="F0B0"/>
      </w:r>
      <w:r>
        <w:rPr>
          <w:spacing w:val="-3"/>
          <w:sz w:val="24"/>
          <w:szCs w:val="24"/>
        </w:rPr>
        <w:t>) Mr ou Mme (</w:t>
      </w:r>
      <w:r>
        <w:rPr>
          <w:i/>
          <w:iCs/>
          <w:spacing w:val="-3"/>
          <w:sz w:val="24"/>
          <w:szCs w:val="24"/>
        </w:rPr>
        <w:t>état civil complet et régime matrimonial</w:t>
      </w:r>
      <w:r>
        <w:rPr>
          <w:spacing w:val="-3"/>
          <w:sz w:val="24"/>
          <w:szCs w:val="24"/>
        </w:rPr>
        <w:t>)...</w:t>
      </w:r>
    </w:p>
    <w:p w14:paraId="35A1473F" w14:textId="77777777" w:rsidR="00312A3B" w:rsidRDefault="00312A3B" w:rsidP="00312A3B">
      <w:pPr>
        <w:suppressAutoHyphens/>
        <w:spacing w:line="240" w:lineRule="atLeast"/>
        <w:jc w:val="both"/>
        <w:rPr>
          <w:spacing w:val="-3"/>
          <w:sz w:val="24"/>
          <w:szCs w:val="24"/>
        </w:rPr>
      </w:pPr>
      <w:r>
        <w:rPr>
          <w:spacing w:val="-3"/>
          <w:sz w:val="24"/>
          <w:szCs w:val="24"/>
        </w:rPr>
        <w:t>2</w:t>
      </w:r>
      <w:r>
        <w:rPr>
          <w:spacing w:val="-3"/>
          <w:sz w:val="24"/>
          <w:szCs w:val="24"/>
          <w:lang w:val="en-US"/>
        </w:rPr>
        <w:sym w:font="Symbol" w:char="F0B0"/>
      </w:r>
      <w:r>
        <w:rPr>
          <w:spacing w:val="-3"/>
          <w:sz w:val="24"/>
          <w:szCs w:val="24"/>
        </w:rPr>
        <w:t>) ou de la société  (</w:t>
      </w:r>
      <w:r>
        <w:rPr>
          <w:i/>
          <w:iCs/>
          <w:spacing w:val="-3"/>
          <w:sz w:val="24"/>
          <w:szCs w:val="24"/>
        </w:rPr>
        <w:t>préciser dénomination, numéro RCS, forme, capital et siège</w:t>
      </w:r>
      <w:r>
        <w:rPr>
          <w:spacing w:val="-3"/>
          <w:sz w:val="24"/>
          <w:szCs w:val="24"/>
        </w:rPr>
        <w:t>)...</w:t>
      </w:r>
    </w:p>
    <w:p w14:paraId="35A14740" w14:textId="77777777" w:rsidR="00312A3B" w:rsidRDefault="00312A3B" w:rsidP="00312A3B">
      <w:pPr>
        <w:suppressAutoHyphens/>
        <w:spacing w:line="240" w:lineRule="atLeast"/>
        <w:jc w:val="both"/>
        <w:rPr>
          <w:spacing w:val="-3"/>
          <w:sz w:val="24"/>
          <w:szCs w:val="24"/>
        </w:rPr>
      </w:pPr>
    </w:p>
    <w:p w14:paraId="35A14741" w14:textId="77777777" w:rsidR="00312A3B" w:rsidRDefault="00312A3B" w:rsidP="00312A3B">
      <w:pPr>
        <w:suppressAutoHyphens/>
        <w:spacing w:line="240" w:lineRule="atLeast"/>
        <w:jc w:val="both"/>
        <w:rPr>
          <w:spacing w:val="-3"/>
          <w:sz w:val="24"/>
          <w:szCs w:val="24"/>
        </w:rPr>
      </w:pPr>
      <w:r>
        <w:rPr>
          <w:spacing w:val="-3"/>
          <w:sz w:val="24"/>
          <w:szCs w:val="24"/>
        </w:rPr>
        <w:t>Qui accepte, caution solidaire des engagements souscrits par elle portant sur les adjudications de biens immobiliers prononcés en son nom à la Barre du Tribunal Judiciaire de</w:t>
      </w:r>
      <w:r>
        <w:rPr>
          <w:spacing w:val="-3"/>
          <w:sz w:val="24"/>
          <w:szCs w:val="24"/>
        </w:rPr>
        <w:tab/>
      </w:r>
      <w:r>
        <w:rPr>
          <w:spacing w:val="-3"/>
          <w:sz w:val="24"/>
          <w:szCs w:val="24"/>
        </w:rPr>
        <w:tab/>
        <w:t>, sous la constitution de Maître</w:t>
      </w:r>
      <w:r>
        <w:rPr>
          <w:spacing w:val="-3"/>
          <w:sz w:val="24"/>
          <w:szCs w:val="24"/>
        </w:rPr>
        <w:tab/>
      </w:r>
      <w:r>
        <w:rPr>
          <w:spacing w:val="-3"/>
          <w:sz w:val="24"/>
          <w:szCs w:val="24"/>
        </w:rPr>
        <w:tab/>
        <w:t xml:space="preserve">, avocat à la Cour, domicilié </w:t>
      </w:r>
      <w:r>
        <w:rPr>
          <w:spacing w:val="-3"/>
          <w:sz w:val="24"/>
          <w:szCs w:val="24"/>
        </w:rPr>
        <w:tab/>
      </w:r>
      <w:r>
        <w:rPr>
          <w:spacing w:val="-3"/>
          <w:sz w:val="24"/>
          <w:szCs w:val="24"/>
        </w:rPr>
        <w:tab/>
      </w:r>
      <w:r>
        <w:rPr>
          <w:spacing w:val="-3"/>
          <w:sz w:val="24"/>
          <w:szCs w:val="24"/>
        </w:rPr>
        <w:tab/>
        <w:t xml:space="preserve"> et ce jusqu’à concurrence de la somme en principal de... </w:t>
      </w:r>
    </w:p>
    <w:p w14:paraId="35A14742" w14:textId="77777777" w:rsidR="00312A3B" w:rsidRDefault="00312A3B" w:rsidP="00312A3B">
      <w:pPr>
        <w:suppressAutoHyphens/>
        <w:spacing w:line="240" w:lineRule="atLeast"/>
        <w:jc w:val="both"/>
        <w:rPr>
          <w:spacing w:val="-3"/>
          <w:sz w:val="24"/>
          <w:szCs w:val="24"/>
        </w:rPr>
      </w:pPr>
    </w:p>
    <w:p w14:paraId="35A14743" w14:textId="77777777" w:rsidR="00312A3B" w:rsidRDefault="00312A3B" w:rsidP="00312A3B">
      <w:pPr>
        <w:suppressAutoHyphens/>
        <w:spacing w:line="240" w:lineRule="atLeast"/>
        <w:jc w:val="both"/>
        <w:rPr>
          <w:spacing w:val="-3"/>
          <w:sz w:val="24"/>
          <w:szCs w:val="24"/>
        </w:rPr>
      </w:pPr>
      <w:r>
        <w:rPr>
          <w:spacing w:val="-3"/>
          <w:sz w:val="24"/>
          <w:szCs w:val="24"/>
        </w:rPr>
        <w:t xml:space="preserve">Cet engagement couvre les obligations prévues à l’article </w:t>
      </w:r>
      <w:r>
        <w:rPr>
          <w:sz w:val="24"/>
          <w:szCs w:val="24"/>
        </w:rPr>
        <w:t>R322-41 du Code des procédures civiles d’exécution</w:t>
      </w:r>
      <w:r>
        <w:rPr>
          <w:spacing w:val="-3"/>
          <w:sz w:val="24"/>
          <w:szCs w:val="24"/>
        </w:rPr>
        <w:t>, à savoir la consignation entre les mains du Bâtonnier - Séquestre d’une somme représentant 10 % du montant de la mise à prix et au minimum la somme de 3.000,00 euros.</w:t>
      </w:r>
    </w:p>
    <w:p w14:paraId="35A14744" w14:textId="77777777" w:rsidR="00312A3B" w:rsidRDefault="00312A3B" w:rsidP="00312A3B">
      <w:pPr>
        <w:suppressAutoHyphens/>
        <w:spacing w:line="240" w:lineRule="atLeast"/>
        <w:jc w:val="both"/>
        <w:rPr>
          <w:spacing w:val="-3"/>
          <w:sz w:val="24"/>
          <w:szCs w:val="24"/>
        </w:rPr>
      </w:pPr>
    </w:p>
    <w:p w14:paraId="35A14745" w14:textId="77777777" w:rsidR="00312A3B" w:rsidRDefault="00312A3B" w:rsidP="00312A3B">
      <w:pPr>
        <w:suppressAutoHyphens/>
        <w:spacing w:line="240" w:lineRule="atLeast"/>
        <w:jc w:val="both"/>
        <w:rPr>
          <w:spacing w:val="-3"/>
          <w:sz w:val="24"/>
          <w:szCs w:val="24"/>
        </w:rPr>
      </w:pPr>
      <w:r>
        <w:rPr>
          <w:spacing w:val="-3"/>
          <w:sz w:val="24"/>
          <w:szCs w:val="24"/>
        </w:rPr>
        <w:t>Le présent engagement est valable pour une durée d’une année, sauf dénonciation par lettre recommandée AR adressée à l’avocat constitué.</w:t>
      </w:r>
    </w:p>
    <w:p w14:paraId="35A14746" w14:textId="77777777" w:rsidR="00312A3B" w:rsidRDefault="00312A3B" w:rsidP="00312A3B">
      <w:pPr>
        <w:suppressAutoHyphens/>
        <w:spacing w:line="240" w:lineRule="atLeast"/>
        <w:jc w:val="both"/>
        <w:rPr>
          <w:spacing w:val="-3"/>
          <w:sz w:val="24"/>
          <w:szCs w:val="24"/>
        </w:rPr>
      </w:pPr>
    </w:p>
    <w:p w14:paraId="35A14747" w14:textId="77777777" w:rsidR="00312A3B" w:rsidRDefault="00312A3B" w:rsidP="00312A3B">
      <w:pPr>
        <w:suppressAutoHyphens/>
        <w:spacing w:line="240" w:lineRule="atLeast"/>
        <w:jc w:val="both"/>
        <w:rPr>
          <w:spacing w:val="-3"/>
          <w:sz w:val="24"/>
          <w:szCs w:val="24"/>
        </w:rPr>
      </w:pPr>
      <w:r>
        <w:rPr>
          <w:spacing w:val="-3"/>
          <w:sz w:val="24"/>
          <w:szCs w:val="24"/>
        </w:rPr>
        <w:t>La dénonciation n’emportera, toutefois, décharge de la caution, qu’après paiement de toutes les obligations dont l’origine sera antérieure, ou postérieure de 48 heures, à la réception par l’avocat de la notification de révocation,</w:t>
      </w:r>
    </w:p>
    <w:p w14:paraId="35A14748" w14:textId="77777777" w:rsidR="00312A3B" w:rsidRDefault="00312A3B" w:rsidP="00312A3B">
      <w:pPr>
        <w:suppressAutoHyphens/>
        <w:spacing w:line="240" w:lineRule="atLeast"/>
        <w:jc w:val="both"/>
        <w:rPr>
          <w:spacing w:val="-3"/>
          <w:sz w:val="24"/>
          <w:szCs w:val="24"/>
        </w:rPr>
      </w:pPr>
    </w:p>
    <w:p w14:paraId="35A14749" w14:textId="77777777" w:rsidR="00312A3B" w:rsidRDefault="00312A3B" w:rsidP="00312A3B">
      <w:pPr>
        <w:suppressAutoHyphens/>
        <w:spacing w:line="240" w:lineRule="atLeast"/>
        <w:jc w:val="both"/>
        <w:rPr>
          <w:spacing w:val="-3"/>
          <w:sz w:val="24"/>
          <w:szCs w:val="24"/>
        </w:rPr>
      </w:pPr>
      <w:r>
        <w:rPr>
          <w:spacing w:val="-3"/>
          <w:sz w:val="24"/>
          <w:szCs w:val="24"/>
        </w:rPr>
        <w:t>renonçant expressément au bénéfice de discussion et de division et, sur simple demande faite par lettre recommandée AR de l’avocat constitué, exécutera immédiatement son engagement, de plein droit, et sans mise en demeure préalable, dès lors que l’adjudication aura été prononcée au profit de... (</w:t>
      </w:r>
      <w:r>
        <w:rPr>
          <w:i/>
          <w:iCs/>
          <w:spacing w:val="-3"/>
          <w:sz w:val="24"/>
          <w:szCs w:val="24"/>
        </w:rPr>
        <w:t>adjudicataire</w:t>
      </w:r>
      <w:r>
        <w:rPr>
          <w:spacing w:val="-3"/>
          <w:sz w:val="24"/>
          <w:szCs w:val="24"/>
        </w:rPr>
        <w:t>).</w:t>
      </w:r>
    </w:p>
    <w:p w14:paraId="35A1474A" w14:textId="77777777" w:rsidR="00312A3B" w:rsidRDefault="00312A3B" w:rsidP="00312A3B">
      <w:pPr>
        <w:suppressAutoHyphens/>
        <w:spacing w:line="240" w:lineRule="atLeast"/>
        <w:jc w:val="both"/>
        <w:rPr>
          <w:spacing w:val="-3"/>
          <w:sz w:val="24"/>
          <w:szCs w:val="24"/>
        </w:rPr>
      </w:pPr>
    </w:p>
    <w:p w14:paraId="35A1474B" w14:textId="77777777" w:rsidR="00312A3B" w:rsidRDefault="00312A3B" w:rsidP="00312A3B">
      <w:pPr>
        <w:suppressAutoHyphens/>
        <w:spacing w:line="240" w:lineRule="atLeast"/>
        <w:jc w:val="both"/>
        <w:rPr>
          <w:spacing w:val="-3"/>
          <w:sz w:val="24"/>
          <w:szCs w:val="24"/>
        </w:rPr>
      </w:pPr>
      <w:r>
        <w:rPr>
          <w:spacing w:val="-3"/>
          <w:sz w:val="24"/>
          <w:szCs w:val="24"/>
        </w:rPr>
        <w:t xml:space="preserve">Pour toute difficulté pouvant résulter de l’exécution ou de l’interprétation des présentes, compétence exclusive est donnée aux Tribunaux de </w:t>
      </w:r>
    </w:p>
    <w:p w14:paraId="35A1474C" w14:textId="77777777" w:rsidR="009A03EE" w:rsidRDefault="009A03EE"/>
    <w:sectPr w:rsidR="009A03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CC871" w14:textId="77777777" w:rsidR="00330485" w:rsidRDefault="00330485" w:rsidP="00330485">
      <w:r>
        <w:separator/>
      </w:r>
    </w:p>
  </w:endnote>
  <w:endnote w:type="continuationSeparator" w:id="0">
    <w:p w14:paraId="0D53BEFD" w14:textId="77777777" w:rsidR="00330485" w:rsidRDefault="00330485" w:rsidP="0033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88F4" w14:textId="77777777" w:rsidR="00330485" w:rsidRDefault="00330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7186" w14:textId="29794199" w:rsidR="00330485" w:rsidRPr="00AB1B99" w:rsidRDefault="00AB1B99" w:rsidP="00AB1B99">
    <w:pPr>
      <w:pBdr>
        <w:top w:val="single" w:sz="4" w:space="1" w:color="BFBFBF" w:themeColor="background1" w:themeShade="BF"/>
      </w:pBdr>
      <w:mirrorIndents/>
      <w:jc w:val="center"/>
      <w:rPr>
        <w:rFonts w:asciiTheme="minorHAnsi" w:hAnsiTheme="minorHAnsi" w:cstheme="minorHAnsi"/>
        <w:color w:val="BFBFBF" w:themeColor="background1" w:themeShade="BF"/>
        <w:lang w:val="en-US"/>
      </w:rPr>
    </w:pPr>
    <w:bookmarkStart w:id="0" w:name="_Hlk39532651"/>
    <w:bookmarkStart w:id="1" w:name="_Hlk39532652"/>
    <w:r w:rsidRPr="00AB1B99">
      <w:rPr>
        <w:rFonts w:asciiTheme="minorHAnsi" w:hAnsiTheme="minorHAnsi" w:cstheme="minorHAnsi"/>
        <w:color w:val="BFBFBF" w:themeColor="background1" w:themeShade="BF"/>
        <w:sz w:val="16"/>
        <w:szCs w:val="16"/>
      </w:rPr>
      <w:t xml:space="preserve">Modèle fourni par le Cabinet </w:t>
    </w:r>
    <w:proofErr w:type="spellStart"/>
    <w:r w:rsidRPr="00AB1B99">
      <w:rPr>
        <w:rFonts w:asciiTheme="minorHAnsi" w:hAnsiTheme="minorHAnsi" w:cstheme="minorHAnsi"/>
        <w:color w:val="BFBFBF" w:themeColor="background1" w:themeShade="BF"/>
        <w:sz w:val="16"/>
        <w:szCs w:val="16"/>
      </w:rPr>
      <w:t>Audineau</w:t>
    </w:r>
    <w:proofErr w:type="spellEnd"/>
    <w:r w:rsidRPr="00AB1B99">
      <w:rPr>
        <w:rFonts w:asciiTheme="minorHAnsi" w:hAnsiTheme="minorHAnsi" w:cstheme="minorHAnsi"/>
        <w:color w:val="BFBFBF" w:themeColor="background1" w:themeShade="BF"/>
        <w:sz w:val="16"/>
        <w:szCs w:val="16"/>
      </w:rPr>
      <w:t xml:space="preserve"> &amp; Associés - Avocats spécialistes du droit immobilier - www.audineau.fr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0BCCE" w14:textId="77777777" w:rsidR="00330485" w:rsidRDefault="00330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67984" w14:textId="77777777" w:rsidR="00330485" w:rsidRDefault="00330485" w:rsidP="00330485">
      <w:r>
        <w:separator/>
      </w:r>
    </w:p>
  </w:footnote>
  <w:footnote w:type="continuationSeparator" w:id="0">
    <w:p w14:paraId="53618CD4" w14:textId="77777777" w:rsidR="00330485" w:rsidRDefault="00330485" w:rsidP="0033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A8BA" w14:textId="77777777" w:rsidR="00330485" w:rsidRDefault="00330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854B9" w14:textId="77777777" w:rsidR="00330485" w:rsidRDefault="00330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9702" w14:textId="77777777" w:rsidR="00330485" w:rsidRDefault="003304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3B"/>
    <w:rsid w:val="00312A3B"/>
    <w:rsid w:val="00330485"/>
    <w:rsid w:val="009A03EE"/>
    <w:rsid w:val="00AB1B99"/>
    <w:rsid w:val="00CC4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4735"/>
  <w15:chartTrackingRefBased/>
  <w15:docId w15:val="{A4A58EC7-EF9D-42E0-8EAC-B83F6A8B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3B"/>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485"/>
    <w:pPr>
      <w:tabs>
        <w:tab w:val="center" w:pos="4536"/>
        <w:tab w:val="right" w:pos="9072"/>
      </w:tabs>
    </w:pPr>
  </w:style>
  <w:style w:type="character" w:customStyle="1" w:styleId="HeaderChar">
    <w:name w:val="Header Char"/>
    <w:basedOn w:val="DefaultParagraphFont"/>
    <w:link w:val="Header"/>
    <w:uiPriority w:val="99"/>
    <w:rsid w:val="00330485"/>
    <w:rPr>
      <w:rFonts w:ascii="Times New Roman" w:eastAsiaTheme="minorEastAsia" w:hAnsi="Times New Roman" w:cs="Times New Roman"/>
      <w:sz w:val="20"/>
      <w:szCs w:val="20"/>
      <w:lang w:eastAsia="fr-FR"/>
    </w:rPr>
  </w:style>
  <w:style w:type="paragraph" w:styleId="Footer">
    <w:name w:val="footer"/>
    <w:basedOn w:val="Normal"/>
    <w:link w:val="FooterChar"/>
    <w:uiPriority w:val="99"/>
    <w:unhideWhenUsed/>
    <w:rsid w:val="00330485"/>
    <w:pPr>
      <w:tabs>
        <w:tab w:val="center" w:pos="4536"/>
        <w:tab w:val="right" w:pos="9072"/>
      </w:tabs>
    </w:pPr>
  </w:style>
  <w:style w:type="character" w:customStyle="1" w:styleId="FooterChar">
    <w:name w:val="Footer Char"/>
    <w:basedOn w:val="DefaultParagraphFont"/>
    <w:link w:val="Footer"/>
    <w:uiPriority w:val="99"/>
    <w:rsid w:val="00330485"/>
    <w:rPr>
      <w:rFonts w:ascii="Times New Roman" w:eastAsiaTheme="minorEastAsia"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6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Suzyumov</dc:creator>
  <cp:keywords/>
  <dc:description/>
  <cp:lastModifiedBy>STEVE S</cp:lastModifiedBy>
  <cp:revision>4</cp:revision>
  <dcterms:created xsi:type="dcterms:W3CDTF">2020-05-12T07:51:00Z</dcterms:created>
  <dcterms:modified xsi:type="dcterms:W3CDTF">2020-05-14T21:43:00Z</dcterms:modified>
</cp:coreProperties>
</file>